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2B4D3" w14:textId="6BCD0D1A" w:rsidR="00ED6ABC" w:rsidRPr="00313C27" w:rsidRDefault="0084326C">
      <w:pPr>
        <w:spacing w:after="280" w:line="259" w:lineRule="auto"/>
        <w:ind w:left="0" w:firstLine="0"/>
        <w:rPr>
          <w:sz w:val="24"/>
          <w:szCs w:val="24"/>
        </w:rPr>
      </w:pPr>
      <w:r w:rsidRPr="00313C27">
        <w:rPr>
          <w:noProof/>
          <w:sz w:val="24"/>
          <w:szCs w:val="24"/>
        </w:rPr>
        <w:drawing>
          <wp:anchor distT="0" distB="0" distL="114300" distR="114300" simplePos="0" relativeHeight="251658240" behindDoc="0" locked="0" layoutInCell="1" allowOverlap="0" wp14:anchorId="2AF6FECB" wp14:editId="60997302">
            <wp:simplePos x="0" y="0"/>
            <wp:positionH relativeFrom="column">
              <wp:posOffset>3863340</wp:posOffset>
            </wp:positionH>
            <wp:positionV relativeFrom="paragraph">
              <wp:posOffset>35300</wp:posOffset>
            </wp:positionV>
            <wp:extent cx="1536192" cy="2167128"/>
            <wp:effectExtent l="0" t="0" r="0" b="0"/>
            <wp:wrapSquare wrapText="bothSides"/>
            <wp:docPr id="1872" name="Picture 1872"/>
            <wp:cNvGraphicFramePr/>
            <a:graphic xmlns:a="http://schemas.openxmlformats.org/drawingml/2006/main">
              <a:graphicData uri="http://schemas.openxmlformats.org/drawingml/2006/picture">
                <pic:pic xmlns:pic="http://schemas.openxmlformats.org/drawingml/2006/picture">
                  <pic:nvPicPr>
                    <pic:cNvPr id="1872" name="Picture 1872"/>
                    <pic:cNvPicPr/>
                  </pic:nvPicPr>
                  <pic:blipFill>
                    <a:blip r:embed="rId5"/>
                    <a:stretch>
                      <a:fillRect/>
                    </a:stretch>
                  </pic:blipFill>
                  <pic:spPr>
                    <a:xfrm>
                      <a:off x="0" y="0"/>
                      <a:ext cx="1536192" cy="2167128"/>
                    </a:xfrm>
                    <a:prstGeom prst="rect">
                      <a:avLst/>
                    </a:prstGeom>
                  </pic:spPr>
                </pic:pic>
              </a:graphicData>
            </a:graphic>
          </wp:anchor>
        </w:drawing>
      </w:r>
      <w:hyperlink r:id="rId6" w:history="1">
        <w:r w:rsidR="00313C27" w:rsidRPr="00313C27">
          <w:rPr>
            <w:rStyle w:val="Hyperlink"/>
            <w:sz w:val="24"/>
            <w:szCs w:val="24"/>
          </w:rPr>
          <w:t>www.jhkmlaw.com</w:t>
        </w:r>
      </w:hyperlink>
      <w:r w:rsidR="00313C27" w:rsidRPr="00313C27">
        <w:rPr>
          <w:sz w:val="24"/>
          <w:szCs w:val="24"/>
        </w:rPr>
        <w:t xml:space="preserve"> </w:t>
      </w:r>
    </w:p>
    <w:p w14:paraId="263FE3E9" w14:textId="77777777" w:rsidR="00ED6ABC" w:rsidRDefault="0084326C">
      <w:pPr>
        <w:spacing w:after="195" w:line="259" w:lineRule="auto"/>
        <w:ind w:left="0" w:firstLine="0"/>
      </w:pPr>
      <w:r>
        <w:rPr>
          <w:b/>
          <w:sz w:val="24"/>
        </w:rPr>
        <w:t xml:space="preserve">John G. </w:t>
      </w:r>
      <w:proofErr w:type="spellStart"/>
      <w:r>
        <w:rPr>
          <w:b/>
          <w:sz w:val="24"/>
        </w:rPr>
        <w:t>Sinodis</w:t>
      </w:r>
      <w:proofErr w:type="spellEnd"/>
      <w:r>
        <w:rPr>
          <w:b/>
          <w:sz w:val="24"/>
        </w:rPr>
        <w:t xml:space="preserve"> </w:t>
      </w:r>
    </w:p>
    <w:p w14:paraId="7C1732A4" w14:textId="0D4CD14E" w:rsidR="00ED6ABC" w:rsidRDefault="00313C27">
      <w:pPr>
        <w:spacing w:after="218" w:line="259" w:lineRule="auto"/>
        <w:ind w:left="-5"/>
      </w:pPr>
      <w:r>
        <w:rPr>
          <w:b/>
          <w:sz w:val="22"/>
        </w:rPr>
        <w:t>Chairman and Managing Partner</w:t>
      </w:r>
    </w:p>
    <w:p w14:paraId="20FEA4FB" w14:textId="1212E912" w:rsidR="00ED6ABC" w:rsidRDefault="0084326C">
      <w:pPr>
        <w:spacing w:after="0" w:line="259" w:lineRule="auto"/>
        <w:ind w:left="-5"/>
      </w:pPr>
      <w:r>
        <w:rPr>
          <w:b/>
          <w:sz w:val="22"/>
        </w:rPr>
        <w:t>Jennings</w:t>
      </w:r>
      <w:r w:rsidR="00313C27">
        <w:rPr>
          <w:b/>
          <w:sz w:val="22"/>
        </w:rPr>
        <w:t xml:space="preserve"> </w:t>
      </w:r>
      <w:proofErr w:type="spellStart"/>
      <w:r w:rsidR="00313C27">
        <w:rPr>
          <w:b/>
          <w:sz w:val="22"/>
        </w:rPr>
        <w:t>Haug</w:t>
      </w:r>
      <w:proofErr w:type="spellEnd"/>
      <w:r w:rsidR="00313C27">
        <w:rPr>
          <w:b/>
          <w:sz w:val="22"/>
        </w:rPr>
        <w:t xml:space="preserve"> </w:t>
      </w:r>
      <w:proofErr w:type="spellStart"/>
      <w:r w:rsidR="00313C27">
        <w:rPr>
          <w:b/>
          <w:sz w:val="22"/>
        </w:rPr>
        <w:t>Keleher</w:t>
      </w:r>
      <w:proofErr w:type="spellEnd"/>
      <w:r w:rsidR="00313C27">
        <w:rPr>
          <w:b/>
          <w:sz w:val="22"/>
        </w:rPr>
        <w:t xml:space="preserve"> </w:t>
      </w:r>
      <w:proofErr w:type="spellStart"/>
      <w:r w:rsidR="00313C27">
        <w:rPr>
          <w:b/>
          <w:sz w:val="22"/>
        </w:rPr>
        <w:t>LcLeod</w:t>
      </w:r>
      <w:proofErr w:type="spellEnd"/>
      <w:r>
        <w:rPr>
          <w:b/>
          <w:sz w:val="22"/>
        </w:rPr>
        <w:t xml:space="preserve">, LLP </w:t>
      </w:r>
    </w:p>
    <w:p w14:paraId="640BFE22" w14:textId="77777777" w:rsidR="00ED6ABC" w:rsidRDefault="0084326C">
      <w:pPr>
        <w:ind w:left="-5"/>
      </w:pPr>
      <w:r>
        <w:t xml:space="preserve">2800 North Central Avenue, Suite 1800 </w:t>
      </w:r>
    </w:p>
    <w:p w14:paraId="3B214D19" w14:textId="77777777" w:rsidR="00ED6ABC" w:rsidRDefault="0084326C">
      <w:pPr>
        <w:ind w:left="-5"/>
      </w:pPr>
      <w:r>
        <w:t xml:space="preserve">Phoenix, AZ  85004 </w:t>
      </w:r>
    </w:p>
    <w:p w14:paraId="07977D65" w14:textId="77777777" w:rsidR="00ED6ABC" w:rsidRDefault="0084326C">
      <w:pPr>
        <w:spacing w:after="15" w:line="259" w:lineRule="auto"/>
        <w:ind w:left="0" w:firstLine="0"/>
      </w:pPr>
      <w:r>
        <w:t xml:space="preserve"> </w:t>
      </w:r>
    </w:p>
    <w:p w14:paraId="59B23FD7" w14:textId="64367BB8" w:rsidR="00ED6ABC" w:rsidRDefault="0084326C">
      <w:pPr>
        <w:ind w:left="-5"/>
      </w:pPr>
      <w:r>
        <w:rPr>
          <w:b/>
        </w:rPr>
        <w:t>Phone:</w:t>
      </w:r>
      <w:r>
        <w:t xml:space="preserve"> </w:t>
      </w:r>
      <w:r>
        <w:t xml:space="preserve">(602) 234-7834 </w:t>
      </w:r>
    </w:p>
    <w:p w14:paraId="26480522" w14:textId="599B727E" w:rsidR="00ED6ABC" w:rsidRDefault="0084326C">
      <w:pPr>
        <w:tabs>
          <w:tab w:val="center" w:pos="1198"/>
        </w:tabs>
        <w:ind w:left="-15" w:right="0" w:firstLine="0"/>
      </w:pPr>
      <w:r>
        <w:rPr>
          <w:b/>
        </w:rPr>
        <w:t>Fax:</w:t>
      </w:r>
      <w:r>
        <w:t xml:space="preserve"> </w:t>
      </w:r>
      <w:r>
        <w:tab/>
      </w:r>
      <w:r>
        <w:t xml:space="preserve">(602)-277-5595 </w:t>
      </w:r>
    </w:p>
    <w:p w14:paraId="33F99DA7" w14:textId="03E53D79" w:rsidR="00ED6ABC" w:rsidRDefault="0084326C">
      <w:pPr>
        <w:tabs>
          <w:tab w:val="center" w:pos="1254"/>
        </w:tabs>
        <w:spacing w:after="101" w:line="259" w:lineRule="auto"/>
        <w:ind w:left="0" w:right="0" w:firstLine="0"/>
      </w:pPr>
      <w:r>
        <w:rPr>
          <w:b/>
        </w:rPr>
        <w:t>Email:</w:t>
      </w:r>
      <w:r>
        <w:t xml:space="preserve"> </w:t>
      </w:r>
      <w:r>
        <w:tab/>
      </w:r>
      <w:hyperlink r:id="rId7" w:history="1">
        <w:r w:rsidRPr="00D31720">
          <w:rPr>
            <w:rStyle w:val="Hyperlink"/>
          </w:rPr>
          <w:t>jgs@jhkmlaw.com</w:t>
        </w:r>
      </w:hyperlink>
    </w:p>
    <w:p w14:paraId="0A21E145" w14:textId="2F95A59E" w:rsidR="00ED6ABC" w:rsidRDefault="0084326C">
      <w:pPr>
        <w:spacing w:after="34" w:line="238" w:lineRule="auto"/>
        <w:ind w:left="0" w:right="1722" w:firstLine="0"/>
      </w:pPr>
      <w:r>
        <w:t xml:space="preserve"> </w:t>
      </w:r>
      <w:r>
        <w:rPr>
          <w:sz w:val="22"/>
        </w:rPr>
        <w:t xml:space="preserve"> </w:t>
      </w:r>
    </w:p>
    <w:p w14:paraId="50CBC020" w14:textId="77777777" w:rsidR="00ED6ABC" w:rsidRDefault="0084326C">
      <w:pPr>
        <w:spacing w:after="0" w:line="259" w:lineRule="auto"/>
        <w:ind w:left="0" w:right="0" w:firstLine="0"/>
      </w:pPr>
      <w:r>
        <w:rPr>
          <w:color w:val="0000FF"/>
        </w:rPr>
        <w:t xml:space="preserve"> </w:t>
      </w:r>
    </w:p>
    <w:p w14:paraId="33965DF9" w14:textId="77777777" w:rsidR="00ED6ABC" w:rsidRDefault="0084326C">
      <w:pPr>
        <w:spacing w:after="0" w:line="259" w:lineRule="auto"/>
        <w:ind w:left="0" w:right="0" w:firstLine="0"/>
      </w:pPr>
      <w:r>
        <w:t xml:space="preserve"> </w:t>
      </w:r>
    </w:p>
    <w:p w14:paraId="2A9FE4D6" w14:textId="77777777" w:rsidR="00ED6ABC" w:rsidRDefault="0084326C">
      <w:pPr>
        <w:spacing w:after="0" w:line="259" w:lineRule="auto"/>
        <w:ind w:left="0" w:right="0" w:firstLine="0"/>
      </w:pPr>
      <w:r>
        <w:t xml:space="preserve"> </w:t>
      </w:r>
    </w:p>
    <w:p w14:paraId="531AB53E" w14:textId="77777777" w:rsidR="00ED6ABC" w:rsidRDefault="0084326C">
      <w:pPr>
        <w:ind w:left="-5" w:right="0"/>
      </w:pPr>
      <w:r>
        <w:t xml:space="preserve">Mr. </w:t>
      </w:r>
      <w:proofErr w:type="spellStart"/>
      <w:r>
        <w:t>Sinodis</w:t>
      </w:r>
      <w:proofErr w:type="spellEnd"/>
      <w:r>
        <w:t xml:space="preserve"> has served as managing partner for the firm since 1999 and is the Chairman of the firm's executive committee. His practice emphasizes the representation of equipment lessors and funding sources in all aspects of equipment leasing including liti</w:t>
      </w:r>
      <w:r>
        <w:t xml:space="preserve">gation, documentation, insolvency, and transactional matters. Besides representing equipment lessors and funding sources,  </w:t>
      </w:r>
    </w:p>
    <w:p w14:paraId="42A7DAA6" w14:textId="77777777" w:rsidR="00ED6ABC" w:rsidRDefault="0084326C">
      <w:pPr>
        <w:ind w:left="-5" w:right="0"/>
      </w:pPr>
      <w:r>
        <w:t xml:space="preserve">Mr. </w:t>
      </w:r>
      <w:proofErr w:type="spellStart"/>
      <w:r>
        <w:t>Sinodis</w:t>
      </w:r>
      <w:proofErr w:type="spellEnd"/>
      <w:r>
        <w:t xml:space="preserve"> represents financial institutions and asset-based lenders in the areas of commercial litigation, secured transactions, a</w:t>
      </w:r>
      <w:r>
        <w:t xml:space="preserve">sset recovery, loan restructure and business litigation. </w:t>
      </w:r>
    </w:p>
    <w:p w14:paraId="3C7BE4F3" w14:textId="77777777" w:rsidR="00ED6ABC" w:rsidRDefault="0084326C">
      <w:pPr>
        <w:spacing w:after="0" w:line="259" w:lineRule="auto"/>
        <w:ind w:left="0" w:right="0" w:firstLine="0"/>
      </w:pPr>
      <w:r>
        <w:t xml:space="preserve"> </w:t>
      </w:r>
    </w:p>
    <w:p w14:paraId="780B2587" w14:textId="77777777" w:rsidR="00ED6ABC" w:rsidRDefault="0084326C">
      <w:pPr>
        <w:ind w:left="-5" w:right="0"/>
      </w:pPr>
      <w:r>
        <w:t xml:space="preserve">In addition to his commercial litigation practice, Mr. </w:t>
      </w:r>
      <w:proofErr w:type="spellStart"/>
      <w:r>
        <w:t>Sinodis</w:t>
      </w:r>
      <w:proofErr w:type="spellEnd"/>
      <w:r>
        <w:t xml:space="preserve"> is a trained mediator having received his training from the Straus Institute for Dispute Resolution at Pepperdine University School o</w:t>
      </w:r>
      <w:r>
        <w:t xml:space="preserve">f Law. </w:t>
      </w:r>
    </w:p>
    <w:p w14:paraId="5EAB916B" w14:textId="77777777" w:rsidR="00ED6ABC" w:rsidRDefault="0084326C">
      <w:pPr>
        <w:spacing w:after="0" w:line="259" w:lineRule="auto"/>
        <w:ind w:left="0" w:right="0" w:firstLine="0"/>
      </w:pPr>
      <w:r>
        <w:t xml:space="preserve"> </w:t>
      </w:r>
    </w:p>
    <w:p w14:paraId="76F6ACEE" w14:textId="77777777" w:rsidR="00ED6ABC" w:rsidRDefault="0084326C">
      <w:pPr>
        <w:ind w:left="-5" w:right="0"/>
      </w:pPr>
      <w:r>
        <w:t xml:space="preserve">Mr. </w:t>
      </w:r>
      <w:proofErr w:type="spellStart"/>
      <w:r>
        <w:t>Sinodis</w:t>
      </w:r>
      <w:proofErr w:type="spellEnd"/>
      <w:r>
        <w:t xml:space="preserve"> is an active member of the Equipment Leasing and Finance Association (ELFA) and the National Equipment Finance Association (NEFA). Prior to joining the firm, Mr. </w:t>
      </w:r>
      <w:proofErr w:type="spellStart"/>
      <w:r>
        <w:t>Sinodis</w:t>
      </w:r>
      <w:proofErr w:type="spellEnd"/>
      <w:r>
        <w:t xml:space="preserve"> served as the president of General Leasing Co. and is presently </w:t>
      </w:r>
      <w:r>
        <w:t xml:space="preserve">a member of its board of directors. </w:t>
      </w:r>
    </w:p>
    <w:p w14:paraId="70551859" w14:textId="77777777" w:rsidR="00ED6ABC" w:rsidRDefault="0084326C">
      <w:pPr>
        <w:spacing w:after="0" w:line="259" w:lineRule="auto"/>
        <w:ind w:left="0" w:right="0" w:firstLine="0"/>
      </w:pPr>
      <w:r>
        <w:t xml:space="preserve"> </w:t>
      </w:r>
    </w:p>
    <w:p w14:paraId="0B941222" w14:textId="77777777" w:rsidR="00ED6ABC" w:rsidRDefault="0084326C">
      <w:pPr>
        <w:spacing w:after="194"/>
        <w:ind w:left="-5" w:right="0"/>
      </w:pPr>
      <w:r>
        <w:t xml:space="preserve">Mr. </w:t>
      </w:r>
      <w:proofErr w:type="spellStart"/>
      <w:r>
        <w:t>Sinodis</w:t>
      </w:r>
      <w:proofErr w:type="spellEnd"/>
      <w:r>
        <w:t xml:space="preserve"> is a graduate of Arizona State University (B.S. 1982 and J.D. 1985), is admitted in Arizona and California bars, and </w:t>
      </w:r>
      <w:r>
        <w:t xml:space="preserve">has earned the AV Rating with Martindale Hubbell®. </w:t>
      </w:r>
    </w:p>
    <w:p w14:paraId="4A88694F" w14:textId="77777777" w:rsidR="00ED6ABC" w:rsidRDefault="0084326C">
      <w:pPr>
        <w:spacing w:after="349" w:line="285" w:lineRule="auto"/>
        <w:ind w:left="-5" w:right="0"/>
      </w:pPr>
      <w:r>
        <w:rPr>
          <w:b/>
          <w:color w:val="4F81BD"/>
        </w:rPr>
        <w:t xml:space="preserve">Honors and Awards </w:t>
      </w:r>
    </w:p>
    <w:p w14:paraId="6E3CD60F" w14:textId="77777777" w:rsidR="00ED6ABC" w:rsidRDefault="0084326C">
      <w:pPr>
        <w:tabs>
          <w:tab w:val="center" w:pos="406"/>
          <w:tab w:val="center" w:pos="4538"/>
        </w:tabs>
        <w:spacing w:after="223"/>
        <w:ind w:left="0" w:right="0" w:firstLine="0"/>
      </w:pPr>
      <w:r>
        <w:rPr>
          <w:sz w:val="22"/>
        </w:rP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Selected for inclusion in the </w:t>
      </w:r>
      <w:r>
        <w:rPr>
          <w:b/>
        </w:rPr>
        <w:t>Southwest Super Lawyers</w:t>
      </w:r>
      <w:r>
        <w:t xml:space="preserve">® lists Business Litigation (2007-2009, 2011, 2014) </w:t>
      </w:r>
    </w:p>
    <w:p w14:paraId="2EECFFE7" w14:textId="77777777" w:rsidR="00ED6ABC" w:rsidRDefault="0084326C">
      <w:pPr>
        <w:pStyle w:val="Heading1"/>
        <w:ind w:left="-5"/>
      </w:pPr>
      <w:r>
        <w:t xml:space="preserve">Professional Associations and Memberships </w:t>
      </w:r>
    </w:p>
    <w:p w14:paraId="5521FD89" w14:textId="77777777" w:rsidR="00ED6ABC" w:rsidRDefault="0084326C">
      <w:pPr>
        <w:numPr>
          <w:ilvl w:val="0"/>
          <w:numId w:val="1"/>
        </w:numPr>
        <w:ind w:right="0" w:hanging="360"/>
      </w:pPr>
      <w:r>
        <w:t xml:space="preserve">State Bar of Arizona </w:t>
      </w:r>
    </w:p>
    <w:p w14:paraId="14084897" w14:textId="77777777" w:rsidR="00ED6ABC" w:rsidRDefault="0084326C">
      <w:pPr>
        <w:numPr>
          <w:ilvl w:val="0"/>
          <w:numId w:val="1"/>
        </w:numPr>
        <w:ind w:right="0" w:hanging="360"/>
      </w:pPr>
      <w:r>
        <w:t xml:space="preserve">State Bar </w:t>
      </w:r>
      <w:r>
        <w:t xml:space="preserve">of California </w:t>
      </w:r>
    </w:p>
    <w:p w14:paraId="1CD577D7" w14:textId="77777777" w:rsidR="00ED6ABC" w:rsidRDefault="0084326C">
      <w:pPr>
        <w:numPr>
          <w:ilvl w:val="0"/>
          <w:numId w:val="1"/>
        </w:numPr>
        <w:ind w:right="0" w:hanging="360"/>
      </w:pPr>
      <w:r>
        <w:t xml:space="preserve">Maricopa County Bar Association </w:t>
      </w:r>
    </w:p>
    <w:p w14:paraId="4463224F" w14:textId="77777777" w:rsidR="00ED6ABC" w:rsidRDefault="0084326C">
      <w:pPr>
        <w:numPr>
          <w:ilvl w:val="0"/>
          <w:numId w:val="1"/>
        </w:numPr>
        <w:ind w:right="0" w:hanging="360"/>
      </w:pPr>
      <w:r>
        <w:t xml:space="preserve">ABA - Section Membership: Law Practice Management </w:t>
      </w:r>
    </w:p>
    <w:p w14:paraId="2A281B2D" w14:textId="77777777" w:rsidR="00ED6ABC" w:rsidRDefault="0084326C">
      <w:pPr>
        <w:numPr>
          <w:ilvl w:val="0"/>
          <w:numId w:val="1"/>
        </w:numPr>
        <w:ind w:right="0" w:hanging="360"/>
      </w:pPr>
      <w:r>
        <w:t xml:space="preserve">ABA - Section Membership: Business Law </w:t>
      </w:r>
    </w:p>
    <w:p w14:paraId="5FA74518" w14:textId="77777777" w:rsidR="00ED6ABC" w:rsidRDefault="0084326C">
      <w:pPr>
        <w:numPr>
          <w:ilvl w:val="0"/>
          <w:numId w:val="1"/>
        </w:numPr>
        <w:ind w:right="0" w:hanging="360"/>
      </w:pPr>
      <w:r>
        <w:t xml:space="preserve">Equipment Leasing and Finance Association </w:t>
      </w:r>
    </w:p>
    <w:p w14:paraId="2F1288F4" w14:textId="77777777" w:rsidR="00ED6ABC" w:rsidRDefault="0084326C">
      <w:pPr>
        <w:numPr>
          <w:ilvl w:val="0"/>
          <w:numId w:val="1"/>
        </w:numPr>
        <w:ind w:right="0" w:hanging="360"/>
      </w:pPr>
      <w:r>
        <w:t xml:space="preserve">National Equipment Finance Association, Member </w:t>
      </w:r>
    </w:p>
    <w:p w14:paraId="751CCD4F" w14:textId="77777777" w:rsidR="00ED6ABC" w:rsidRDefault="0084326C">
      <w:pPr>
        <w:numPr>
          <w:ilvl w:val="0"/>
          <w:numId w:val="1"/>
        </w:numPr>
        <w:spacing w:after="223"/>
        <w:ind w:right="0" w:hanging="360"/>
      </w:pPr>
      <w:r>
        <w:t xml:space="preserve">LEAN: Lease Enforcement Attorney Network, Member </w:t>
      </w:r>
    </w:p>
    <w:p w14:paraId="6CFD3347" w14:textId="77777777" w:rsidR="00ED6ABC" w:rsidRDefault="0084326C">
      <w:pPr>
        <w:pStyle w:val="Heading1"/>
        <w:ind w:left="-5"/>
      </w:pPr>
      <w:r>
        <w:t xml:space="preserve">Published Works </w:t>
      </w:r>
    </w:p>
    <w:p w14:paraId="48A51411" w14:textId="77777777" w:rsidR="00ED6ABC" w:rsidRDefault="0084326C">
      <w:pPr>
        <w:numPr>
          <w:ilvl w:val="0"/>
          <w:numId w:val="2"/>
        </w:numPr>
        <w:spacing w:after="15"/>
        <w:ind w:right="0" w:hanging="360"/>
      </w:pPr>
      <w:r>
        <w:rPr>
          <w:i/>
        </w:rPr>
        <w:t>UCC Article 9 Changes: A Rose by Any Other Name Would Not Smell as Sweet</w:t>
      </w:r>
      <w:r>
        <w:t xml:space="preserve">, </w:t>
      </w:r>
      <w:r>
        <w:rPr>
          <w:b/>
        </w:rPr>
        <w:t>NEFA Newsline</w:t>
      </w:r>
      <w:r>
        <w:t xml:space="preserve"> page 17 (Jul/Aug. 2013) </w:t>
      </w:r>
    </w:p>
    <w:p w14:paraId="7FFFB1F4" w14:textId="77777777" w:rsidR="00ED6ABC" w:rsidRDefault="0084326C">
      <w:pPr>
        <w:numPr>
          <w:ilvl w:val="0"/>
          <w:numId w:val="2"/>
        </w:numPr>
        <w:spacing w:after="68"/>
        <w:ind w:right="0" w:hanging="360"/>
      </w:pPr>
      <w:r>
        <w:lastRenderedPageBreak/>
        <w:t>Co-author with Chris Stovall</w:t>
      </w:r>
      <w:r>
        <w:t>,</w:t>
      </w:r>
      <w:r>
        <w:rPr>
          <w:i/>
        </w:rPr>
        <w:t xml:space="preserve"> Lessor More Protected: UCC Article 2A Analysis Strengthens Resistance to Common Lessee Collection Defenses</w:t>
      </w:r>
      <w:r>
        <w:t xml:space="preserve">, </w:t>
      </w:r>
      <w:r>
        <w:rPr>
          <w:b/>
        </w:rPr>
        <w:t>The Monitor</w:t>
      </w:r>
      <w:r>
        <w:t xml:space="preserve"> (Jan/Feb. 2012) </w:t>
      </w:r>
    </w:p>
    <w:p w14:paraId="0F5ADF6B" w14:textId="77777777" w:rsidR="00ED6ABC" w:rsidRDefault="0084326C">
      <w:pPr>
        <w:numPr>
          <w:ilvl w:val="0"/>
          <w:numId w:val="2"/>
        </w:numPr>
        <w:spacing w:after="68"/>
        <w:ind w:right="0" w:hanging="360"/>
      </w:pPr>
      <w:r>
        <w:t>Co-author with Chris Stovall,</w:t>
      </w:r>
      <w:r>
        <w:rPr>
          <w:i/>
        </w:rPr>
        <w:t xml:space="preserve"> The UCC's Public Policy Favors the Lessor, Come Hell or High Water</w:t>
      </w:r>
      <w:r>
        <w:t xml:space="preserve">, </w:t>
      </w:r>
      <w:r>
        <w:rPr>
          <w:b/>
        </w:rPr>
        <w:t>Lease Enforcement A</w:t>
      </w:r>
      <w:r>
        <w:rPr>
          <w:b/>
        </w:rPr>
        <w:t>ttorney Network</w:t>
      </w:r>
      <w:r>
        <w:t xml:space="preserve"> (Jan. 2012) </w:t>
      </w:r>
    </w:p>
    <w:p w14:paraId="2C39D66D" w14:textId="77777777" w:rsidR="00ED6ABC" w:rsidRDefault="0084326C">
      <w:pPr>
        <w:numPr>
          <w:ilvl w:val="0"/>
          <w:numId w:val="2"/>
        </w:numPr>
        <w:spacing w:after="15"/>
        <w:ind w:right="0" w:hanging="360"/>
      </w:pPr>
      <w:r>
        <w:rPr>
          <w:i/>
        </w:rPr>
        <w:t>Lending in Indian Country - Understanding Important Issues</w:t>
      </w:r>
      <w:r>
        <w:t xml:space="preserve">, co-author, </w:t>
      </w:r>
      <w:r>
        <w:rPr>
          <w:b/>
        </w:rPr>
        <w:t>Monitor</w:t>
      </w:r>
      <w:r>
        <w:t xml:space="preserve">, Vol.38, No.7, Conference Issue (2011) </w:t>
      </w:r>
    </w:p>
    <w:p w14:paraId="41E3E32C" w14:textId="77777777" w:rsidR="00ED6ABC" w:rsidRDefault="0084326C">
      <w:pPr>
        <w:numPr>
          <w:ilvl w:val="0"/>
          <w:numId w:val="2"/>
        </w:numPr>
        <w:spacing w:after="15"/>
        <w:ind w:right="0" w:hanging="360"/>
      </w:pPr>
      <w:r>
        <w:t>Co-author,</w:t>
      </w:r>
      <w:r>
        <w:rPr>
          <w:i/>
        </w:rPr>
        <w:t xml:space="preserve"> What Questions should Human Resource Professionals be </w:t>
      </w:r>
      <w:proofErr w:type="gramStart"/>
      <w:r>
        <w:rPr>
          <w:i/>
        </w:rPr>
        <w:t>Asking?</w:t>
      </w:r>
      <w:r>
        <w:t>,</w:t>
      </w:r>
      <w:proofErr w:type="gramEnd"/>
      <w:r>
        <w:t xml:space="preserve"> </w:t>
      </w:r>
      <w:r>
        <w:rPr>
          <w:b/>
        </w:rPr>
        <w:t>NEFA Newsline</w:t>
      </w:r>
      <w:r>
        <w:t xml:space="preserve"> (Fall 2008) </w:t>
      </w:r>
    </w:p>
    <w:p w14:paraId="5E8EE513" w14:textId="77777777" w:rsidR="00ED6ABC" w:rsidRDefault="0084326C">
      <w:pPr>
        <w:numPr>
          <w:ilvl w:val="0"/>
          <w:numId w:val="2"/>
        </w:numPr>
        <w:spacing w:after="15"/>
        <w:ind w:right="0" w:hanging="360"/>
      </w:pPr>
      <w:r>
        <w:rPr>
          <w:i/>
        </w:rPr>
        <w:t>Communi</w:t>
      </w:r>
      <w:r>
        <w:rPr>
          <w:i/>
        </w:rPr>
        <w:t>ty Property Laws can Affect your Lease Transaction</w:t>
      </w:r>
      <w:r>
        <w:t xml:space="preserve">, </w:t>
      </w:r>
      <w:r>
        <w:rPr>
          <w:b/>
        </w:rPr>
        <w:t>UAEL Newsline</w:t>
      </w:r>
      <w:r>
        <w:t xml:space="preserve">, Vol.34, No.4 (Fall 2007) </w:t>
      </w:r>
    </w:p>
    <w:sectPr w:rsidR="00ED6ABC">
      <w:pgSz w:w="12240" w:h="15840"/>
      <w:pgMar w:top="1440" w:right="724"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1E3271"/>
    <w:multiLevelType w:val="hybridMultilevel"/>
    <w:tmpl w:val="CF72DFCA"/>
    <w:lvl w:ilvl="0" w:tplc="F3328AB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41EE5B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728F9C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58A73F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204B80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6B02F8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E3AF5A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4C4FA4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F7A8D2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6EC75DA"/>
    <w:multiLevelType w:val="hybridMultilevel"/>
    <w:tmpl w:val="FFFADF08"/>
    <w:lvl w:ilvl="0" w:tplc="C8EA4E4E">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430BB1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796A4E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3827D9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9B0884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F366CF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3B2D78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428D95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BF4959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842427459">
    <w:abstractNumId w:val="0"/>
  </w:num>
  <w:num w:numId="2" w16cid:durableId="2295368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ABC"/>
    <w:rsid w:val="00313C27"/>
    <w:rsid w:val="0084326C"/>
    <w:rsid w:val="00ED6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78D00"/>
  <w15:docId w15:val="{4EEF5FAF-BBFF-4D97-BD2A-7956C6D8E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 w:line="249" w:lineRule="auto"/>
      <w:ind w:left="10" w:right="2300" w:hanging="10"/>
    </w:pPr>
    <w:rPr>
      <w:rFonts w:ascii="Calibri" w:eastAsia="Calibri" w:hAnsi="Calibri" w:cs="Calibri"/>
      <w:color w:val="000000"/>
      <w:sz w:val="18"/>
    </w:rPr>
  </w:style>
  <w:style w:type="paragraph" w:styleId="Heading1">
    <w:name w:val="heading 1"/>
    <w:next w:val="Normal"/>
    <w:link w:val="Heading1Char"/>
    <w:uiPriority w:val="9"/>
    <w:qFormat/>
    <w:pPr>
      <w:keepNext/>
      <w:keepLines/>
      <w:spacing w:after="349" w:line="285" w:lineRule="auto"/>
      <w:ind w:left="10" w:hanging="10"/>
      <w:outlineLvl w:val="0"/>
    </w:pPr>
    <w:rPr>
      <w:rFonts w:ascii="Calibri" w:eastAsia="Calibri" w:hAnsi="Calibri" w:cs="Calibri"/>
      <w:b/>
      <w:color w:val="4F81BD"/>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4F81BD"/>
      <w:sz w:val="18"/>
    </w:rPr>
  </w:style>
  <w:style w:type="character" w:styleId="Hyperlink">
    <w:name w:val="Hyperlink"/>
    <w:basedOn w:val="DefaultParagraphFont"/>
    <w:uiPriority w:val="99"/>
    <w:unhideWhenUsed/>
    <w:rsid w:val="00313C27"/>
    <w:rPr>
      <w:color w:val="0563C1" w:themeColor="hyperlink"/>
      <w:u w:val="single"/>
    </w:rPr>
  </w:style>
  <w:style w:type="character" w:styleId="UnresolvedMention">
    <w:name w:val="Unresolved Mention"/>
    <w:basedOn w:val="DefaultParagraphFont"/>
    <w:uiPriority w:val="99"/>
    <w:semiHidden/>
    <w:unhideWhenUsed/>
    <w:rsid w:val="00313C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gs@jhkmlaw.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hkmlaw.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dc:creator>
  <cp:keywords/>
  <cp:lastModifiedBy>Wendy Giuliano</cp:lastModifiedBy>
  <cp:revision>2</cp:revision>
  <dcterms:created xsi:type="dcterms:W3CDTF">2022-05-02T13:11:00Z</dcterms:created>
  <dcterms:modified xsi:type="dcterms:W3CDTF">2022-05-02T13:11:00Z</dcterms:modified>
</cp:coreProperties>
</file>